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030022" w:rsidP="00BD5391">
      <w:pPr>
        <w:keepNext/>
        <w:keepLines/>
        <w:spacing w:line="276" w:lineRule="auto"/>
        <w:outlineLvl w:val="0"/>
        <w:rPr>
          <w:rFonts w:eastAsia="Times New Roman"/>
          <w:b/>
          <w:sz w:val="40"/>
          <w:szCs w:val="32"/>
        </w:rPr>
      </w:pPr>
      <w:r>
        <w:rPr>
          <w:b/>
          <w:sz w:val="40"/>
          <w:szCs w:val="32"/>
        </w:rPr>
        <w:t>Estande do Wirtgen Group atrai grande número de visitantes na Bauma 2019</w:t>
      </w:r>
    </w:p>
    <w:p w:rsidR="00BD5391" w:rsidRPr="00075C66" w:rsidRDefault="00BD5391" w:rsidP="00BD5391">
      <w:pPr>
        <w:spacing w:line="280" w:lineRule="atLeast"/>
        <w:jc w:val="both"/>
        <w:rPr>
          <w:sz w:val="22"/>
        </w:rPr>
      </w:pPr>
    </w:p>
    <w:p w:rsidR="00347278" w:rsidRDefault="006F4BD6" w:rsidP="007C63BE">
      <w:pPr>
        <w:spacing w:line="276" w:lineRule="auto"/>
        <w:jc w:val="both"/>
        <w:rPr>
          <w:b/>
          <w:iCs/>
          <w:sz w:val="22"/>
        </w:rPr>
      </w:pPr>
      <w:r>
        <w:rPr>
          <w:b/>
          <w:iCs/>
          <w:sz w:val="22"/>
        </w:rPr>
        <w:t xml:space="preserve">120 peças expostas, incluindo 18 estreias mundiais e 25 inovações, assim como 6 exposições interativas de tecnologia: o estande do Grupo Wirtgen na Bauma estava repleto de máquinas e tecnologias de aplicação líderes da Wirtgen, Vögele, Hamm, Kleemann, Benninghoven e John Deere. </w:t>
      </w:r>
    </w:p>
    <w:p w:rsidR="00CB7E65" w:rsidRDefault="00CB7E65" w:rsidP="007C63BE">
      <w:pPr>
        <w:spacing w:line="276" w:lineRule="auto"/>
        <w:jc w:val="both"/>
        <w:rPr>
          <w:b/>
          <w:iCs/>
          <w:sz w:val="22"/>
        </w:rPr>
      </w:pPr>
    </w:p>
    <w:p w:rsidR="00C44BE7" w:rsidRPr="00C44BE7" w:rsidRDefault="000410C5" w:rsidP="007C63BE">
      <w:pPr>
        <w:spacing w:line="276" w:lineRule="auto"/>
        <w:jc w:val="both"/>
        <w:rPr>
          <w:b/>
          <w:iCs/>
          <w:sz w:val="22"/>
        </w:rPr>
      </w:pPr>
      <w:r>
        <w:rPr>
          <w:b/>
          <w:iCs/>
          <w:sz w:val="22"/>
        </w:rPr>
        <w:t>Pela primeira vez, junto com a John Deere</w:t>
      </w:r>
    </w:p>
    <w:p w:rsidR="00C100DD" w:rsidRDefault="00033D5A" w:rsidP="00C100DD">
      <w:pPr>
        <w:spacing w:line="276" w:lineRule="auto"/>
        <w:jc w:val="both"/>
      </w:pPr>
      <w:r>
        <w:rPr>
          <w:iCs/>
          <w:sz w:val="22"/>
        </w:rPr>
        <w:t>Ficou bem claro em Munique que as variedades de produtos complementares do Wirtgen Group e da John Deere se complementam de forma ideal. Não foram apenas as incontáveis aplicações possíveis resultantes das interações dos produtos que foram convincentes. A presença unida de ambas as presenças destaca também a solidariedade e intenção de continuar a crescer juntas.</w:t>
      </w:r>
      <w:r>
        <w:t xml:space="preserve"> </w:t>
      </w:r>
    </w:p>
    <w:p w:rsidR="00C100DD" w:rsidRDefault="00C100DD" w:rsidP="00C100DD">
      <w:pPr>
        <w:spacing w:line="276" w:lineRule="auto"/>
        <w:jc w:val="both"/>
        <w:rPr>
          <w:iCs/>
          <w:sz w:val="22"/>
        </w:rPr>
      </w:pPr>
    </w:p>
    <w:p w:rsidR="004A4AF6" w:rsidRDefault="007B4697" w:rsidP="007C63BE">
      <w:pPr>
        <w:spacing w:line="276" w:lineRule="auto"/>
        <w:jc w:val="both"/>
        <w:rPr>
          <w:iCs/>
          <w:sz w:val="22"/>
        </w:rPr>
      </w:pPr>
      <w:r>
        <w:rPr>
          <w:iCs/>
          <w:sz w:val="22"/>
        </w:rPr>
        <w:t xml:space="preserve">A motoniveladora 622GP, que a John Deere está introduzindo no mercado europeu juntamente com a 672GP, atraiu grande interesse. A distribuição através da rede de vendas e serviços do Grupo Wirtgen na Alemanha e na França são um exemplo atual de como os clientes já estão se beneficiando de produtos e serviços premium de uma única fonte. </w:t>
      </w:r>
    </w:p>
    <w:p w:rsidR="00C100DD" w:rsidRDefault="00C100DD" w:rsidP="007C63BE">
      <w:pPr>
        <w:spacing w:line="276" w:lineRule="auto"/>
        <w:jc w:val="both"/>
        <w:rPr>
          <w:iCs/>
          <w:sz w:val="22"/>
        </w:rPr>
      </w:pPr>
    </w:p>
    <w:p w:rsidR="00C24DDB" w:rsidRDefault="004A4AF6" w:rsidP="007C63BE">
      <w:pPr>
        <w:spacing w:line="276" w:lineRule="auto"/>
        <w:jc w:val="both"/>
        <w:rPr>
          <w:iCs/>
          <w:sz w:val="22"/>
        </w:rPr>
      </w:pPr>
      <w:r>
        <w:rPr>
          <w:iCs/>
          <w:sz w:val="22"/>
        </w:rPr>
        <w:t>O lema do Wirtgen Group para a feira deste ano também estava alinhado com isso: “SmartSynergies and Innovations” (sinergias inteligentes e inovações). SmartSynergies representa a interação ideal e a competência em soluções das marcas de produtos especializados da Wirtgen, Vögele, Hamm, Kleemann e Benninghoven para todas as aplicações de construção de estradas. Elas são complementadas pelas sinergias resultantes da adesão à John Deere.</w:t>
      </w:r>
    </w:p>
    <w:p w:rsidR="00645CFB" w:rsidRDefault="00665233" w:rsidP="00665233">
      <w:pPr>
        <w:tabs>
          <w:tab w:val="left" w:pos="5585"/>
        </w:tabs>
        <w:spacing w:line="276" w:lineRule="auto"/>
        <w:jc w:val="both"/>
        <w:rPr>
          <w:b/>
          <w:sz w:val="22"/>
        </w:rPr>
      </w:pPr>
      <w:r>
        <w:rPr>
          <w:b/>
          <w:sz w:val="22"/>
        </w:rPr>
        <w:tab/>
      </w:r>
    </w:p>
    <w:p w:rsidR="00DD2027" w:rsidRPr="00544EE7" w:rsidRDefault="001D2117" w:rsidP="00DD2027">
      <w:pPr>
        <w:spacing w:line="276" w:lineRule="auto"/>
        <w:jc w:val="both"/>
        <w:rPr>
          <w:b/>
          <w:sz w:val="22"/>
        </w:rPr>
      </w:pPr>
      <w:r>
        <w:rPr>
          <w:b/>
          <w:sz w:val="22"/>
        </w:rPr>
        <w:t>Estreias mundiais e inovações além do horizonte</w:t>
      </w:r>
    </w:p>
    <w:p w:rsidR="001D2117" w:rsidRDefault="005967DA" w:rsidP="00645CFB">
      <w:pPr>
        <w:spacing w:line="276" w:lineRule="auto"/>
        <w:jc w:val="both"/>
        <w:rPr>
          <w:sz w:val="22"/>
        </w:rPr>
      </w:pPr>
      <w:r>
        <w:rPr>
          <w:sz w:val="22"/>
        </w:rPr>
        <w:t>Com 18 estreias mundiais e 25 inovações, o grupo de empresas também comprovou que, conforme declarado, é um gerador de inovação e líder de tecnologia de construção de estradas. Além das seis exposições de tecnologia, o foco de interesse dos visitantes, foi, sem sombra de dúvida,</w:t>
      </w:r>
      <w:r w:rsidR="000A18A9">
        <w:rPr>
          <w:sz w:val="22"/>
        </w:rPr>
        <w:t xml:space="preserve"> </w:t>
      </w:r>
      <w:r>
        <w:rPr>
          <w:sz w:val="22"/>
        </w:rPr>
        <w:t xml:space="preserve">as novidades de maquinário. Da mesma forma, as peças expostas atraíram multidões – por exemplo, a fresadora a frio W 210 Fi da Wirtgen com Mill Assist, a impressionante vibroacabadora de grandes dimensões VÖGELE SUPER 3000-3(i) com mesa de 18 metros, os novos rolos de rodas de borracha da Hamm da Série HP, os robustos britadores Kleemann MOBICAT MC 120 Z PRO para operações de extração mais exigentes, as usinas de asfalto ecológicas Benninghoven TBA com gerador de gás quente e, é claro, os equipamentos de construção completos da John Deere. </w:t>
      </w:r>
    </w:p>
    <w:p w:rsidR="000A18A9" w:rsidRPr="0030316D" w:rsidRDefault="003A1CFC" w:rsidP="000A18A9">
      <w:pPr>
        <w:pStyle w:val="HeadlineFotos"/>
      </w:pPr>
      <w:r>
        <w:br w:type="page"/>
      </w:r>
      <w:r w:rsidR="000A18A9">
        <w:rPr>
          <w:rFonts w:eastAsia="Calibri" w:cs="Arial"/>
          <w:caps w:val="0"/>
          <w:szCs w:val="22"/>
        </w:rPr>
        <w:lastRenderedPageBreak/>
        <w:t>F</w:t>
      </w:r>
      <w:r w:rsidR="000A18A9" w:rsidRPr="001B0A9E">
        <w:rPr>
          <w:rFonts w:eastAsia="Calibri" w:cs="Arial"/>
          <w:caps w:val="0"/>
          <w:szCs w:val="22"/>
        </w:rPr>
        <w:t>otos</w:t>
      </w:r>
      <w:r w:rsidR="000A18A9">
        <w:t>:</w:t>
      </w:r>
    </w:p>
    <w:tbl>
      <w:tblPr>
        <w:tblStyle w:val="Basic"/>
        <w:tblW w:w="0" w:type="auto"/>
        <w:tblCellSpacing w:w="71" w:type="dxa"/>
        <w:tblLook w:val="04A0" w:firstRow="1" w:lastRow="0" w:firstColumn="1" w:lastColumn="0" w:noHBand="0" w:noVBand="1"/>
      </w:tblPr>
      <w:tblGrid>
        <w:gridCol w:w="5016"/>
        <w:gridCol w:w="4792"/>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0A18A9" w:rsidRPr="00D166AC" w:rsidRDefault="000A18A9" w:rsidP="003D47CC">
            <w:r>
              <w:rPr>
                <w:b/>
                <w:noProof/>
                <w:lang w:val="de-DE" w:eastAsia="de-DE"/>
              </w:rPr>
              <w:drawing>
                <wp:inline distT="0" distB="0" distL="0" distR="0" wp14:anchorId="1F38E099" wp14:editId="640D1211">
                  <wp:extent cx="2766060" cy="1844040"/>
                  <wp:effectExtent l="0" t="0" r="0" b="381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C100DD" w:rsidRDefault="00C100DD" w:rsidP="00C100DD">
            <w:pPr>
              <w:pStyle w:val="berschrift3"/>
              <w:rPr>
                <w:color w:val="FF0000"/>
              </w:rPr>
            </w:pPr>
            <w:r>
              <w:t>WG_photo_Bauma2019_00001</w:t>
            </w:r>
          </w:p>
          <w:p w:rsidR="000A18A9" w:rsidRPr="00F75B79" w:rsidRDefault="000A18A9" w:rsidP="003D47CC">
            <w:pPr>
              <w:pStyle w:val="Text"/>
              <w:jc w:val="left"/>
              <w:rPr>
                <w:sz w:val="20"/>
              </w:rPr>
            </w:pPr>
            <w:r>
              <w:rPr>
                <w:i/>
                <w:iCs/>
                <w:sz w:val="20"/>
              </w:rPr>
              <w:t>Close to our customers</w:t>
            </w:r>
            <w:r>
              <w:rPr>
                <w:sz w:val="20"/>
              </w:rPr>
              <w:t xml:space="preserve"> (perto de nossos clientes) é e continuará sendo a proposta de valor do Wirtgen Group. Na Bauma 2019, o grupo empresarial também se apresentou como um parceiro confiável do setor de construção.</w:t>
            </w:r>
          </w:p>
        </w:tc>
      </w:tr>
    </w:tbl>
    <w:p w:rsidR="000A18A9" w:rsidRDefault="000A18A9" w:rsidP="000A18A9">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18A9" w:rsidRPr="00D166AC" w:rsidRDefault="000A18A9" w:rsidP="003D47CC">
            <w:r>
              <w:rPr>
                <w:b/>
                <w:noProof/>
                <w:lang w:val="de-DE" w:eastAsia="de-DE"/>
              </w:rPr>
              <w:drawing>
                <wp:inline distT="0" distB="0" distL="0" distR="0" wp14:anchorId="111CABF8" wp14:editId="13FDFB13">
                  <wp:extent cx="2766060" cy="1844040"/>
                  <wp:effectExtent l="0" t="0" r="0" b="381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100DD" w:rsidRDefault="00C100DD" w:rsidP="00C100DD">
            <w:pPr>
              <w:pStyle w:val="berschrift3"/>
              <w:rPr>
                <w:color w:val="FF0000"/>
              </w:rPr>
            </w:pPr>
            <w:r>
              <w:t>WG_photo_Bauma2019_00002</w:t>
            </w:r>
          </w:p>
          <w:p w:rsidR="000A18A9" w:rsidRPr="00F75B79" w:rsidRDefault="000A18A9" w:rsidP="003D47CC">
            <w:pPr>
              <w:pStyle w:val="Text"/>
              <w:jc w:val="left"/>
              <w:rPr>
                <w:sz w:val="20"/>
              </w:rPr>
            </w:pPr>
            <w:r>
              <w:rPr>
                <w:sz w:val="20"/>
              </w:rPr>
              <w:t>A fresadora a frio W 210 Fi da nova geração de fresadoras grandes da Wirtgen conquistou muitos dos visitantes da feira.</w:t>
            </w:r>
          </w:p>
        </w:tc>
      </w:tr>
    </w:tbl>
    <w:p w:rsidR="000A18A9" w:rsidRDefault="000A18A9" w:rsidP="000A18A9">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18A9" w:rsidRPr="00D166AC" w:rsidRDefault="000A18A9" w:rsidP="003D47CC">
            <w:r>
              <w:rPr>
                <w:b/>
                <w:noProof/>
                <w:lang w:val="de-DE" w:eastAsia="de-DE"/>
              </w:rPr>
              <w:drawing>
                <wp:inline distT="0" distB="0" distL="0" distR="0" wp14:anchorId="1000623E" wp14:editId="79C5996B">
                  <wp:extent cx="2766060" cy="1844040"/>
                  <wp:effectExtent l="0" t="0" r="0" b="3810"/>
                  <wp:docPr id="1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100DD" w:rsidRDefault="00C100DD" w:rsidP="00C100DD">
            <w:pPr>
              <w:pStyle w:val="berschrift3"/>
              <w:rPr>
                <w:color w:val="FF0000"/>
              </w:rPr>
            </w:pPr>
            <w:r>
              <w:t>WG_photo_Bauma2019_00003</w:t>
            </w:r>
          </w:p>
          <w:p w:rsidR="000A18A9" w:rsidRPr="00F75B79" w:rsidRDefault="000A18A9" w:rsidP="003D47CC">
            <w:pPr>
              <w:pStyle w:val="Text"/>
              <w:jc w:val="left"/>
              <w:rPr>
                <w:sz w:val="20"/>
              </w:rPr>
            </w:pPr>
            <w:r>
              <w:rPr>
                <w:sz w:val="20"/>
              </w:rPr>
              <w:t>Como representante da linha premium da Vögele, a vibroacabadora grande SUPER 3000-3(i) da geração “Traço 3”.</w:t>
            </w:r>
          </w:p>
        </w:tc>
      </w:tr>
    </w:tbl>
    <w:p w:rsidR="000A18A9" w:rsidRDefault="000A18A9" w:rsidP="000A18A9">
      <w:pPr>
        <w:rPr>
          <w:b/>
          <w:sz w:val="22"/>
          <w:szCs w:val="22"/>
        </w:rPr>
      </w:pPr>
    </w:p>
    <w:p w:rsidR="000A18A9" w:rsidRDefault="000A18A9" w:rsidP="000A18A9">
      <w:pPr>
        <w:rPr>
          <w:rFonts w:eastAsia="Calibri" w:cs="Arial"/>
          <w:b/>
          <w:sz w:val="22"/>
          <w:szCs w:val="22"/>
        </w:rPr>
      </w:pPr>
      <w:r>
        <w:rPr>
          <w:rFonts w:eastAsia="Calibri" w:cs="Arial"/>
          <w:caps/>
          <w:szCs w:val="22"/>
        </w:rPr>
        <w:br w:type="page"/>
      </w:r>
    </w:p>
    <w:p w:rsidR="000A18A9" w:rsidRPr="0030316D" w:rsidRDefault="000A18A9" w:rsidP="000A18A9">
      <w:pPr>
        <w:pStyle w:val="HeadlineFotos"/>
      </w:pPr>
      <w:r>
        <w:rPr>
          <w:rFonts w:eastAsia="Calibri" w:cs="Arial"/>
          <w:caps w:val="0"/>
          <w:szCs w:val="22"/>
        </w:rPr>
        <w:lastRenderedPageBreak/>
        <w:t>F</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6"/>
        <w:gridCol w:w="4792"/>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0A18A9" w:rsidRPr="00D166AC" w:rsidRDefault="000A18A9" w:rsidP="003D47CC">
            <w:r>
              <w:rPr>
                <w:b/>
                <w:noProof/>
                <w:lang w:val="de-DE" w:eastAsia="de-DE"/>
              </w:rPr>
              <w:drawing>
                <wp:inline distT="0" distB="0" distL="0" distR="0" wp14:anchorId="44A64410" wp14:editId="398DE125">
                  <wp:extent cx="2766060" cy="1844040"/>
                  <wp:effectExtent l="0" t="0" r="0" b="3810"/>
                  <wp:docPr id="1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C100DD" w:rsidRDefault="00C100DD" w:rsidP="00C100DD">
            <w:pPr>
              <w:pStyle w:val="berschrift3"/>
              <w:rPr>
                <w:color w:val="FF0000"/>
              </w:rPr>
            </w:pPr>
            <w:r>
              <w:t>WG_photo_Bauma2019_00004</w:t>
            </w:r>
          </w:p>
          <w:p w:rsidR="000A18A9" w:rsidRPr="0034205C" w:rsidRDefault="000A18A9" w:rsidP="000A18A9">
            <w:pPr>
              <w:pStyle w:val="Text"/>
              <w:jc w:val="left"/>
              <w:rPr>
                <w:sz w:val="20"/>
              </w:rPr>
            </w:pPr>
            <w:r>
              <w:rPr>
                <w:sz w:val="20"/>
              </w:rPr>
              <w:t xml:space="preserve">O tambor de oscilação dividido da Hamm funciona com duas unidades de oscilação autônomas que são mecanicamente independentes uma da outra. As duas metades do tambor são sincronizadas através de um inovador sistema hidráulico digital. </w:t>
            </w:r>
          </w:p>
          <w:p w:rsidR="000A18A9" w:rsidRPr="00F75B79" w:rsidRDefault="000A18A9" w:rsidP="003D47CC">
            <w:pPr>
              <w:pStyle w:val="Text"/>
              <w:jc w:val="left"/>
              <w:rPr>
                <w:sz w:val="20"/>
              </w:rPr>
            </w:pPr>
          </w:p>
        </w:tc>
      </w:tr>
    </w:tbl>
    <w:p w:rsidR="000A18A9" w:rsidRDefault="000A18A9" w:rsidP="000A18A9">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18A9" w:rsidRPr="00D166AC" w:rsidRDefault="000A18A9" w:rsidP="003D47CC">
            <w:r>
              <w:rPr>
                <w:b/>
                <w:noProof/>
                <w:lang w:val="de-DE" w:eastAsia="de-DE"/>
              </w:rPr>
              <w:drawing>
                <wp:inline distT="0" distB="0" distL="0" distR="0" wp14:anchorId="56382A78" wp14:editId="43C20F44">
                  <wp:extent cx="2766060" cy="1844040"/>
                  <wp:effectExtent l="0" t="0" r="0" b="381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100DD" w:rsidRDefault="00C100DD" w:rsidP="00C100DD">
            <w:pPr>
              <w:pStyle w:val="berschrift3"/>
              <w:rPr>
                <w:color w:val="FF0000"/>
              </w:rPr>
            </w:pPr>
            <w:r>
              <w:t>WG_photo_Bauma2019_00005</w:t>
            </w:r>
          </w:p>
          <w:p w:rsidR="000A18A9" w:rsidRPr="00F75B79" w:rsidRDefault="000A18A9" w:rsidP="003D47CC">
            <w:pPr>
              <w:pStyle w:val="Text"/>
              <w:jc w:val="left"/>
              <w:rPr>
                <w:sz w:val="20"/>
              </w:rPr>
            </w:pPr>
            <w:r>
              <w:rPr>
                <w:sz w:val="20"/>
              </w:rPr>
              <w:t>Operação intuitiva, trabalhado com redução de ruídos nas proximidades da máquina e ótima acessibilidade de todos os lados: A Kleemann apresentou na Bauma soluções para a operação segura e simples das unidades de britagem e peneiramento.</w:t>
            </w:r>
          </w:p>
        </w:tc>
      </w:tr>
    </w:tbl>
    <w:p w:rsidR="000A18A9" w:rsidRDefault="000A18A9" w:rsidP="000A18A9">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18A9" w:rsidRPr="00D166AC" w:rsidRDefault="000A18A9" w:rsidP="003D47CC">
            <w:r>
              <w:rPr>
                <w:b/>
                <w:noProof/>
                <w:lang w:val="de-DE" w:eastAsia="de-DE"/>
              </w:rPr>
              <w:drawing>
                <wp:inline distT="0" distB="0" distL="0" distR="0" wp14:anchorId="6399A5ED" wp14:editId="187F6651">
                  <wp:extent cx="2766060" cy="1844040"/>
                  <wp:effectExtent l="0" t="0" r="0" b="381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C100DD" w:rsidRDefault="00C100DD" w:rsidP="00C100DD">
            <w:pPr>
              <w:pStyle w:val="berschrift3"/>
              <w:rPr>
                <w:color w:val="FF0000"/>
              </w:rPr>
            </w:pPr>
            <w:r>
              <w:t>WG_photo_Bauma2019_00006</w:t>
            </w:r>
          </w:p>
          <w:p w:rsidR="000A18A9" w:rsidRPr="00F75B79" w:rsidRDefault="000A18A9" w:rsidP="003D47CC">
            <w:pPr>
              <w:pStyle w:val="Text"/>
              <w:jc w:val="left"/>
              <w:rPr>
                <w:sz w:val="20"/>
              </w:rPr>
            </w:pPr>
            <w:r>
              <w:rPr>
                <w:sz w:val="20"/>
              </w:rPr>
              <w:t>Estreia mundial: A usina de asfalto Benninghoven TBA está disponível pela primeira vez com gerador de gás quente.</w:t>
            </w:r>
          </w:p>
        </w:tc>
      </w:tr>
    </w:tbl>
    <w:p w:rsidR="000A18A9" w:rsidRDefault="000A18A9" w:rsidP="000A18A9">
      <w:pPr>
        <w:rPr>
          <w:b/>
          <w:sz w:val="22"/>
          <w:szCs w:val="22"/>
        </w:rPr>
      </w:pPr>
    </w:p>
    <w:p w:rsidR="000A18A9" w:rsidRDefault="000A18A9" w:rsidP="000A18A9">
      <w:pPr>
        <w:rPr>
          <w:b/>
          <w:sz w:val="22"/>
          <w:szCs w:val="22"/>
        </w:rPr>
      </w:pPr>
      <w:r>
        <w:rPr>
          <w:b/>
          <w:sz w:val="22"/>
          <w:szCs w:val="22"/>
        </w:rPr>
        <w:br w:type="page"/>
      </w:r>
    </w:p>
    <w:p w:rsidR="000A18A9" w:rsidRPr="0030316D" w:rsidRDefault="000A18A9" w:rsidP="000A18A9">
      <w:pPr>
        <w:pStyle w:val="HeadlineFotos"/>
      </w:pPr>
      <w:r>
        <w:rPr>
          <w:rFonts w:eastAsia="Calibri" w:cs="Arial"/>
          <w:caps w:val="0"/>
          <w:szCs w:val="22"/>
        </w:rPr>
        <w:lastRenderedPageBreak/>
        <w:t>F</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8"/>
        <w:gridCol w:w="4790"/>
      </w:tblGrid>
      <w:tr w:rsidR="000A18A9"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0A18A9" w:rsidRPr="00D166AC" w:rsidRDefault="000A18A9" w:rsidP="003D47CC">
            <w:bookmarkStart w:id="0" w:name="_GoBack"/>
            <w:r>
              <w:rPr>
                <w:b/>
                <w:noProof/>
                <w:lang w:val="de-DE" w:eastAsia="de-DE"/>
              </w:rPr>
              <w:drawing>
                <wp:inline distT="0" distB="0" distL="0" distR="0" wp14:anchorId="47AF2649" wp14:editId="255CA373">
                  <wp:extent cx="2766060" cy="1844040"/>
                  <wp:effectExtent l="0" t="0" r="0" b="3810"/>
                  <wp:docPr id="2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bookmarkEnd w:id="0"/>
          </w:p>
        </w:tc>
        <w:tc>
          <w:tcPr>
            <w:tcW w:w="4577" w:type="dxa"/>
          </w:tcPr>
          <w:p w:rsidR="00C100DD" w:rsidRDefault="00C100DD" w:rsidP="00C100DD">
            <w:pPr>
              <w:pStyle w:val="berschrift3"/>
              <w:rPr>
                <w:color w:val="FF0000"/>
              </w:rPr>
            </w:pPr>
            <w:r>
              <w:t>WG_photo_Bauma2019_00007</w:t>
            </w:r>
          </w:p>
          <w:p w:rsidR="000A18A9" w:rsidRPr="00F75B79" w:rsidRDefault="000A18A9" w:rsidP="003D47CC">
            <w:pPr>
              <w:pStyle w:val="Text"/>
              <w:jc w:val="left"/>
              <w:rPr>
                <w:sz w:val="20"/>
              </w:rPr>
            </w:pPr>
            <w:r>
              <w:rPr>
                <w:sz w:val="20"/>
              </w:rPr>
              <w:t>A 622GP é uma das duas motoniveladoras que a John Deere está disponibilizando na Alemanha e na França através da rede de distribuição do Wirtgen Group.</w:t>
            </w:r>
          </w:p>
        </w:tc>
      </w:tr>
    </w:tbl>
    <w:p w:rsidR="000A18A9" w:rsidRDefault="000A18A9" w:rsidP="000A18A9">
      <w:pPr>
        <w:rPr>
          <w:b/>
          <w:sz w:val="22"/>
          <w:szCs w:val="22"/>
        </w:rPr>
      </w:pPr>
    </w:p>
    <w:p w:rsidR="00A645BE" w:rsidRDefault="00A645BE" w:rsidP="008755E5">
      <w:pPr>
        <w:pStyle w:val="Text"/>
      </w:pPr>
    </w:p>
    <w:p w:rsidR="000A18A9" w:rsidRDefault="000A18A9" w:rsidP="008755E5">
      <w:pPr>
        <w:pStyle w:val="Text"/>
      </w:pPr>
    </w:p>
    <w:p w:rsidR="008755E5" w:rsidRDefault="008755E5" w:rsidP="008755E5">
      <w:pPr>
        <w:pStyle w:val="Text"/>
      </w:pPr>
      <w:r>
        <w:rPr>
          <w:i/>
          <w:u w:val="single"/>
        </w:rPr>
        <w:t>Aviso:</w:t>
      </w:r>
      <w:r>
        <w:rPr>
          <w:i/>
        </w:rPr>
        <w:t xml:space="preserve"> Estas fotos servem apenas para a visualização prévia. Para impressão nas publicações, devem ser utilizadas as fotos em resolução de 300 dpi, disponíveis para download no site da Wirtgen GmbH/do Wirtgen Group.</w:t>
      </w:r>
    </w:p>
    <w:p w:rsidR="00A645BE" w:rsidRDefault="00A645BE">
      <w:pPr>
        <w:rPr>
          <w:sz w:val="22"/>
          <w:szCs w:val="22"/>
        </w:rPr>
      </w:pPr>
    </w:p>
    <w:p w:rsidR="006A33A1" w:rsidRDefault="006A33A1">
      <w:pPr>
        <w:rPr>
          <w:sz w:val="22"/>
          <w:szCs w:val="22"/>
        </w:rPr>
      </w:pPr>
    </w:p>
    <w:p w:rsidR="000A18A9" w:rsidRDefault="000A18A9">
      <w:pPr>
        <w:rPr>
          <w:sz w:val="22"/>
          <w:szCs w:val="22"/>
        </w:rPr>
      </w:pPr>
    </w:p>
    <w:p w:rsidR="000A18A9" w:rsidRDefault="000A18A9">
      <w:pPr>
        <w:rPr>
          <w:sz w:val="22"/>
          <w:szCs w:val="22"/>
        </w:rPr>
      </w:pPr>
    </w:p>
    <w:p w:rsidR="000A18A9" w:rsidRDefault="000A18A9">
      <w:pPr>
        <w:rPr>
          <w:sz w:val="22"/>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PARA MAIS INFORMAÇÕES,</w:t>
            </w:r>
            <w:r>
              <w:t xml:space="preserve"> </w:t>
            </w:r>
          </w:p>
          <w:p w:rsidR="008755E5" w:rsidRDefault="008755E5" w:rsidP="008E7B5E">
            <w:pPr>
              <w:pStyle w:val="HeadlineKontakte"/>
            </w:pPr>
            <w:r>
              <w:t>ENTRE EM CONTATO COM:</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Alemanha</w:t>
            </w:r>
          </w:p>
          <w:p w:rsidR="008755E5" w:rsidRDefault="008755E5" w:rsidP="008E7B5E">
            <w:pPr>
              <w:pStyle w:val="Text"/>
            </w:pPr>
          </w:p>
          <w:p w:rsidR="008755E5" w:rsidRDefault="008755E5" w:rsidP="008E7B5E">
            <w:pPr>
              <w:pStyle w:val="Text"/>
            </w:pPr>
            <w:r>
              <w:t>Telefone: +49 (0) 2645 131 – 4510</w:t>
            </w:r>
          </w:p>
          <w:p w:rsidR="008755E5" w:rsidRDefault="008755E5" w:rsidP="008E7B5E">
            <w:pPr>
              <w:pStyle w:val="Text"/>
            </w:pPr>
            <w:r>
              <w:t>Fax: +49 (0) 2645 131 – 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C100DD">
            <w:rPr>
              <w:noProof/>
              <w:szCs w:val="20"/>
            </w:rPr>
            <w:t>04</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Reinhard-Wirtgen-Str. 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18A9"/>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00DD"/>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pt-B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pt-BR"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131625">
      <w:bodyDiv w:val="1"/>
      <w:marLeft w:val="0"/>
      <w:marRight w:val="0"/>
      <w:marTop w:val="0"/>
      <w:marBottom w:val="0"/>
      <w:divBdr>
        <w:top w:val="none" w:sz="0" w:space="0" w:color="auto"/>
        <w:left w:val="none" w:sz="0" w:space="0" w:color="auto"/>
        <w:bottom w:val="none" w:sz="0" w:space="0" w:color="auto"/>
        <w:right w:val="none" w:sz="0" w:space="0" w:color="auto"/>
      </w:divBdr>
    </w:div>
    <w:div w:id="685130491">
      <w:bodyDiv w:val="1"/>
      <w:marLeft w:val="0"/>
      <w:marRight w:val="0"/>
      <w:marTop w:val="0"/>
      <w:marBottom w:val="0"/>
      <w:divBdr>
        <w:top w:val="none" w:sz="0" w:space="0" w:color="auto"/>
        <w:left w:val="none" w:sz="0" w:space="0" w:color="auto"/>
        <w:bottom w:val="none" w:sz="0" w:space="0" w:color="auto"/>
        <w:right w:val="none" w:sz="0" w:space="0" w:color="auto"/>
      </w:divBdr>
    </w:div>
    <w:div w:id="1359546623">
      <w:bodyDiv w:val="1"/>
      <w:marLeft w:val="0"/>
      <w:marRight w:val="0"/>
      <w:marTop w:val="0"/>
      <w:marBottom w:val="0"/>
      <w:divBdr>
        <w:top w:val="none" w:sz="0" w:space="0" w:color="auto"/>
        <w:left w:val="none" w:sz="0" w:space="0" w:color="auto"/>
        <w:bottom w:val="none" w:sz="0" w:space="0" w:color="auto"/>
        <w:right w:val="none" w:sz="0" w:space="0" w:color="auto"/>
      </w:divBdr>
    </w:div>
    <w:div w:id="1556967239">
      <w:bodyDiv w:val="1"/>
      <w:marLeft w:val="0"/>
      <w:marRight w:val="0"/>
      <w:marTop w:val="0"/>
      <w:marBottom w:val="0"/>
      <w:divBdr>
        <w:top w:val="none" w:sz="0" w:space="0" w:color="auto"/>
        <w:left w:val="none" w:sz="0" w:space="0" w:color="auto"/>
        <w:bottom w:val="none" w:sz="0" w:space="0" w:color="auto"/>
        <w:right w:val="none" w:sz="0" w:space="0" w:color="auto"/>
      </w:divBdr>
    </w:div>
    <w:div w:id="1701004306">
      <w:bodyDiv w:val="1"/>
      <w:marLeft w:val="0"/>
      <w:marRight w:val="0"/>
      <w:marTop w:val="0"/>
      <w:marBottom w:val="0"/>
      <w:divBdr>
        <w:top w:val="none" w:sz="0" w:space="0" w:color="auto"/>
        <w:left w:val="none" w:sz="0" w:space="0" w:color="auto"/>
        <w:bottom w:val="none" w:sz="0" w:space="0" w:color="auto"/>
        <w:right w:val="none" w:sz="0" w:space="0" w:color="auto"/>
      </w:divBdr>
    </w:div>
    <w:div w:id="1971784614">
      <w:bodyDiv w:val="1"/>
      <w:marLeft w:val="0"/>
      <w:marRight w:val="0"/>
      <w:marTop w:val="0"/>
      <w:marBottom w:val="0"/>
      <w:divBdr>
        <w:top w:val="none" w:sz="0" w:space="0" w:color="auto"/>
        <w:left w:val="none" w:sz="0" w:space="0" w:color="auto"/>
        <w:bottom w:val="none" w:sz="0" w:space="0" w:color="auto"/>
        <w:right w:val="none" w:sz="0" w:space="0" w:color="auto"/>
      </w:divBdr>
    </w:div>
    <w:div w:id="202559140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33587-5506-4180-960E-FF8DFB9FA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594</Words>
  <Characters>3745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6</cp:revision>
  <cp:lastPrinted>2018-04-24T11:37:00Z</cp:lastPrinted>
  <dcterms:created xsi:type="dcterms:W3CDTF">2019-03-29T15:54:00Z</dcterms:created>
  <dcterms:modified xsi:type="dcterms:W3CDTF">2019-04-11T07:37:00Z</dcterms:modified>
</cp:coreProperties>
</file>